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25 בדצמבר 2023</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י"ג בטבת תשפ"ד</w:t>
      </w:r>
      <w:r w:rsidRPr="00832AD7">
        <w:rPr>
          <w:rFonts w:ascii="Times New Roman" w:eastAsia="Times New Roman" w:hAnsi="Times New Roman" w:cs="David" w:hint="cs"/>
          <w:sz w:val="16"/>
          <w:szCs w:val="16"/>
          <w:rtl/>
        </w:rPr>
        <w:fldChar w:fldCharType="end"/>
      </w:r>
    </w:p>
    <w:p w:rsidR="00515986" w:rsidRPr="00FB0AFD" w:rsidRDefault="00983123" w:rsidP="00FB0AFD">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4700-1039-2023-010223</w:t>
      </w:r>
      <w:r w:rsidRPr="00832AD7">
        <w:rPr>
          <w:rFonts w:ascii="Times New Roman" w:eastAsia="Times New Roman" w:hAnsi="Times New Roman" w:cs="David" w:hint="cs"/>
          <w:sz w:val="16"/>
          <w:szCs w:val="16"/>
          <w:rtl/>
        </w:rPr>
        <w:fldChar w:fldCharType="end"/>
      </w:r>
    </w:p>
    <w:p w:rsidR="00FB0AFD" w:rsidRPr="00FB0AFD" w:rsidRDefault="00541C9E" w:rsidP="00FB0AFD">
      <w:pPr>
        <w:spacing w:after="120" w:line="276" w:lineRule="auto"/>
        <w:jc w:val="center"/>
        <w:rPr>
          <w:rFonts w:ascii="FrankRuehl" w:hAnsi="FrankRuehl" w:cs="FrankRuehl"/>
          <w:b/>
          <w:bCs/>
          <w:color w:val="002060"/>
          <w:sz w:val="32"/>
          <w:szCs w:val="32"/>
          <w:u w:val="single"/>
          <w:rtl/>
        </w:rPr>
      </w:pPr>
      <w:r w:rsidRPr="00FB0AFD">
        <w:rPr>
          <w:rFonts w:ascii="FrankRuehl" w:hAnsi="FrankRuehl" w:cs="FrankRuehl"/>
          <w:b/>
          <w:bCs/>
          <w:color w:val="002060"/>
          <w:sz w:val="32"/>
          <w:szCs w:val="32"/>
          <w:u w:val="single"/>
          <w:rtl/>
        </w:rPr>
        <w:t>תקציר פסק</w:t>
      </w:r>
      <w:r w:rsidRPr="00FB0AFD">
        <w:rPr>
          <w:rFonts w:ascii="FrankRuehl" w:hAnsi="FrankRuehl" w:cs="FrankRuehl" w:hint="cs"/>
          <w:b/>
          <w:bCs/>
          <w:color w:val="002060"/>
          <w:sz w:val="32"/>
          <w:szCs w:val="32"/>
          <w:u w:val="single"/>
          <w:rtl/>
        </w:rPr>
        <w:t>-</w:t>
      </w:r>
      <w:r w:rsidRPr="00FB0AFD">
        <w:rPr>
          <w:rFonts w:ascii="FrankRuehl" w:hAnsi="FrankRuehl" w:cs="FrankRuehl"/>
          <w:b/>
          <w:bCs/>
          <w:color w:val="002060"/>
          <w:sz w:val="32"/>
          <w:szCs w:val="32"/>
          <w:u w:val="single"/>
          <w:rtl/>
        </w:rPr>
        <w:t>דין</w:t>
      </w:r>
      <w:r w:rsidR="00FB0AFD" w:rsidRPr="00FB0AFD">
        <w:rPr>
          <w:rFonts w:ascii="FrankRuehl" w:hAnsi="FrankRuehl" w:cs="FrankRuehl" w:hint="cs"/>
          <w:b/>
          <w:bCs/>
          <w:color w:val="002060"/>
          <w:sz w:val="32"/>
          <w:szCs w:val="32"/>
          <w:u w:val="single"/>
          <w:rtl/>
        </w:rPr>
        <w:t xml:space="preserve">  עת</w:t>
      </w:r>
      <w:r w:rsidR="00FB0AFD" w:rsidRPr="00FB0AFD">
        <w:rPr>
          <w:rFonts w:ascii="FrankRuehl" w:hAnsi="FrankRuehl" w:cs="FrankRuehl"/>
          <w:b/>
          <w:bCs/>
          <w:color w:val="002060"/>
          <w:sz w:val="32"/>
          <w:szCs w:val="32"/>
          <w:u w:val="single"/>
        </w:rPr>
        <w:t>"</w:t>
      </w:r>
      <w:r w:rsidR="00FB0AFD" w:rsidRPr="00FB0AFD">
        <w:rPr>
          <w:rFonts w:ascii="FrankRuehl" w:hAnsi="FrankRuehl" w:cs="FrankRuehl" w:hint="cs"/>
          <w:b/>
          <w:bCs/>
          <w:color w:val="002060"/>
          <w:sz w:val="32"/>
          <w:szCs w:val="32"/>
          <w:u w:val="single"/>
          <w:rtl/>
        </w:rPr>
        <w:t>מ</w:t>
      </w:r>
      <w:r w:rsidR="00FB0AFD" w:rsidRPr="00FB0AFD">
        <w:rPr>
          <w:rFonts w:ascii="FrankRuehl" w:hAnsi="FrankRuehl" w:cs="FrankRuehl"/>
          <w:b/>
          <w:bCs/>
          <w:color w:val="002060"/>
          <w:sz w:val="32"/>
          <w:szCs w:val="32"/>
          <w:u w:val="single"/>
        </w:rPr>
        <w:t xml:space="preserve">16770-05 </w:t>
      </w:r>
      <w:r w:rsidR="00FB0AFD" w:rsidRPr="00FB0AFD">
        <w:rPr>
          <w:rFonts w:ascii="FrankRuehl" w:hAnsi="FrankRuehl" w:cs="FrankRuehl" w:hint="cs"/>
          <w:b/>
          <w:bCs/>
          <w:color w:val="002060"/>
          <w:sz w:val="32"/>
          <w:szCs w:val="32"/>
          <w:u w:val="single"/>
          <w:rtl/>
        </w:rPr>
        <w:t>, עת</w:t>
      </w:r>
      <w:r w:rsidR="00FB0AFD" w:rsidRPr="00FB0AFD">
        <w:rPr>
          <w:rFonts w:ascii="FrankRuehl" w:hAnsi="FrankRuehl" w:cs="FrankRuehl"/>
          <w:b/>
          <w:bCs/>
          <w:color w:val="002060"/>
          <w:sz w:val="32"/>
          <w:szCs w:val="32"/>
          <w:u w:val="single"/>
        </w:rPr>
        <w:t>"</w:t>
      </w:r>
      <w:r w:rsidR="00FB0AFD" w:rsidRPr="00FB0AFD">
        <w:rPr>
          <w:rFonts w:ascii="FrankRuehl" w:hAnsi="FrankRuehl" w:cs="FrankRuehl" w:hint="cs"/>
          <w:b/>
          <w:bCs/>
          <w:color w:val="002060"/>
          <w:sz w:val="32"/>
          <w:szCs w:val="32"/>
          <w:u w:val="single"/>
          <w:rtl/>
        </w:rPr>
        <w:t xml:space="preserve">מ </w:t>
      </w:r>
      <w:r w:rsidR="00FB0AFD" w:rsidRPr="00FB0AFD">
        <w:rPr>
          <w:rFonts w:ascii="FrankRuehl" w:hAnsi="FrankRuehl" w:cs="FrankRuehl"/>
          <w:b/>
          <w:bCs/>
          <w:color w:val="002060"/>
          <w:sz w:val="32"/>
          <w:szCs w:val="32"/>
          <w:u w:val="single"/>
        </w:rPr>
        <w:t xml:space="preserve"> </w:t>
      </w:r>
      <w:bookmarkStart w:id="0" w:name="_GoBack"/>
      <w:r w:rsidR="00FB0AFD" w:rsidRPr="00FB0AFD">
        <w:rPr>
          <w:rFonts w:ascii="FrankRuehl" w:hAnsi="FrankRuehl" w:cs="FrankRuehl"/>
          <w:b/>
          <w:bCs/>
          <w:color w:val="002060"/>
          <w:sz w:val="32"/>
          <w:szCs w:val="32"/>
          <w:u w:val="single"/>
        </w:rPr>
        <w:t>19757-05-23</w:t>
      </w:r>
      <w:r w:rsidR="00FB0AFD" w:rsidRPr="00FB0AFD">
        <w:rPr>
          <w:rFonts w:ascii="FrankRuehl" w:hAnsi="FrankRuehl" w:cs="FrankRuehl" w:hint="cs"/>
          <w:b/>
          <w:bCs/>
          <w:color w:val="002060"/>
          <w:sz w:val="32"/>
          <w:szCs w:val="32"/>
          <w:u w:val="single"/>
          <w:rtl/>
        </w:rPr>
        <w:t xml:space="preserve"> </w:t>
      </w:r>
      <w:bookmarkEnd w:id="0"/>
    </w:p>
    <w:p w:rsidR="00FB0AFD" w:rsidRDefault="00FB0AFD" w:rsidP="00FB0AFD">
      <w:pPr>
        <w:spacing w:after="120" w:line="276" w:lineRule="auto"/>
        <w:jc w:val="center"/>
        <w:rPr>
          <w:rFonts w:ascii="FrankRuehl" w:hAnsi="FrankRuehl" w:cs="FrankRuehl"/>
          <w:b/>
          <w:bCs/>
          <w:color w:val="002060"/>
          <w:sz w:val="32"/>
          <w:szCs w:val="32"/>
          <w:rtl/>
        </w:rPr>
      </w:pPr>
      <w:r>
        <w:rPr>
          <w:rFonts w:ascii="FrankRuehl" w:hAnsi="FrankRuehl" w:cs="FrankRuehl" w:hint="cs"/>
          <w:b/>
          <w:bCs/>
          <w:color w:val="002060"/>
          <w:sz w:val="32"/>
          <w:szCs w:val="32"/>
          <w:rtl/>
        </w:rPr>
        <w:t xml:space="preserve"> </w:t>
      </w:r>
      <w:r w:rsidRPr="00FB0AFD">
        <w:rPr>
          <w:rFonts w:ascii="FrankRuehl" w:hAnsi="FrankRuehl" w:cs="FrankRuehl" w:hint="cs"/>
          <w:b/>
          <w:bCs/>
          <w:color w:val="002060"/>
          <w:sz w:val="32"/>
          <w:szCs w:val="32"/>
          <w:rtl/>
        </w:rPr>
        <w:t>מפעלי</w:t>
      </w:r>
      <w:r w:rsidRPr="00FB0AFD">
        <w:rPr>
          <w:rFonts w:ascii="FrankRuehl" w:hAnsi="FrankRuehl" w:cs="FrankRuehl"/>
          <w:b/>
          <w:bCs/>
          <w:color w:val="002060"/>
          <w:sz w:val="32"/>
          <w:szCs w:val="32"/>
        </w:rPr>
        <w:t xml:space="preserve"> </w:t>
      </w:r>
      <w:r w:rsidRPr="00FB0AFD">
        <w:rPr>
          <w:rFonts w:ascii="FrankRuehl" w:hAnsi="FrankRuehl" w:cs="FrankRuehl" w:hint="cs"/>
          <w:b/>
          <w:bCs/>
          <w:color w:val="002060"/>
          <w:sz w:val="32"/>
          <w:szCs w:val="32"/>
          <w:rtl/>
        </w:rPr>
        <w:t>ארזים</w:t>
      </w:r>
      <w:r w:rsidRPr="00FB0AFD">
        <w:rPr>
          <w:rFonts w:ascii="FrankRuehl" w:hAnsi="FrankRuehl" w:cs="FrankRuehl"/>
          <w:b/>
          <w:bCs/>
          <w:color w:val="002060"/>
          <w:sz w:val="32"/>
          <w:szCs w:val="32"/>
        </w:rPr>
        <w:t xml:space="preserve"> )</w:t>
      </w:r>
      <w:r>
        <w:rPr>
          <w:rFonts w:ascii="FrankRuehl" w:hAnsi="FrankRuehl" w:cs="FrankRuehl"/>
          <w:b/>
          <w:bCs/>
          <w:color w:val="002060"/>
          <w:sz w:val="32"/>
          <w:szCs w:val="32"/>
        </w:rPr>
        <w:t xml:space="preserve"> </w:t>
      </w:r>
      <w:r w:rsidRPr="00FB0AFD">
        <w:rPr>
          <w:rFonts w:ascii="FrankRuehl" w:hAnsi="FrankRuehl" w:cs="FrankRuehl" w:hint="cs"/>
          <w:b/>
          <w:bCs/>
          <w:color w:val="002060"/>
          <w:sz w:val="32"/>
          <w:szCs w:val="32"/>
          <w:rtl/>
        </w:rPr>
        <w:t>ח</w:t>
      </w:r>
      <w:r w:rsidRPr="00FB0AFD">
        <w:rPr>
          <w:rFonts w:ascii="FrankRuehl" w:hAnsi="FrankRuehl" w:cs="FrankRuehl"/>
          <w:b/>
          <w:bCs/>
          <w:color w:val="002060"/>
          <w:sz w:val="32"/>
          <w:szCs w:val="32"/>
        </w:rPr>
        <w:t>.</w:t>
      </w:r>
      <w:r w:rsidRPr="00FB0AFD">
        <w:rPr>
          <w:rFonts w:ascii="FrankRuehl" w:hAnsi="FrankRuehl" w:cs="FrankRuehl" w:hint="cs"/>
          <w:b/>
          <w:bCs/>
          <w:color w:val="002060"/>
          <w:sz w:val="32"/>
          <w:szCs w:val="32"/>
          <w:rtl/>
        </w:rPr>
        <w:t>ד</w:t>
      </w:r>
      <w:r w:rsidRPr="00FB0AFD">
        <w:rPr>
          <w:rFonts w:ascii="FrankRuehl" w:hAnsi="FrankRuehl" w:cs="FrankRuehl"/>
          <w:b/>
          <w:bCs/>
          <w:color w:val="002060"/>
          <w:sz w:val="32"/>
          <w:szCs w:val="32"/>
        </w:rPr>
        <w:t>.</w:t>
      </w:r>
      <w:r w:rsidRPr="00FB0AFD">
        <w:rPr>
          <w:rFonts w:ascii="FrankRuehl" w:hAnsi="FrankRuehl" w:cs="FrankRuehl" w:hint="cs"/>
          <w:b/>
          <w:bCs/>
          <w:color w:val="002060"/>
          <w:sz w:val="32"/>
          <w:szCs w:val="32"/>
          <w:rtl/>
        </w:rPr>
        <w:t>י</w:t>
      </w:r>
      <w:r w:rsidRPr="00FB0AFD">
        <w:rPr>
          <w:rFonts w:ascii="FrankRuehl" w:hAnsi="FrankRuehl" w:cs="FrankRuehl"/>
          <w:b/>
          <w:bCs/>
          <w:color w:val="002060"/>
          <w:sz w:val="32"/>
          <w:szCs w:val="32"/>
        </w:rPr>
        <w:t>.</w:t>
      </w:r>
      <w:r w:rsidRPr="00FB0AFD">
        <w:rPr>
          <w:rFonts w:ascii="FrankRuehl" w:hAnsi="FrankRuehl" w:cs="FrankRuehl" w:hint="cs"/>
          <w:b/>
          <w:bCs/>
          <w:color w:val="002060"/>
          <w:sz w:val="32"/>
          <w:szCs w:val="32"/>
          <w:rtl/>
        </w:rPr>
        <w:t>ר</w:t>
      </w:r>
      <w:r>
        <w:rPr>
          <w:rFonts w:ascii="FrankRuehl" w:hAnsi="FrankRuehl" w:cs="FrankRuehl"/>
          <w:b/>
          <w:bCs/>
          <w:color w:val="002060"/>
          <w:sz w:val="32"/>
          <w:szCs w:val="32"/>
        </w:rPr>
        <w:t xml:space="preserve"> </w:t>
      </w:r>
      <w:r w:rsidRPr="00FB0AFD">
        <w:rPr>
          <w:rFonts w:ascii="FrankRuehl" w:hAnsi="FrankRuehl" w:cs="FrankRuehl"/>
          <w:b/>
          <w:bCs/>
          <w:color w:val="002060"/>
          <w:sz w:val="32"/>
          <w:szCs w:val="32"/>
        </w:rPr>
        <w:t xml:space="preserve">( </w:t>
      </w:r>
      <w:r w:rsidRPr="00FB0AFD">
        <w:rPr>
          <w:rFonts w:ascii="FrankRuehl" w:hAnsi="FrankRuehl" w:cs="FrankRuehl" w:hint="cs"/>
          <w:b/>
          <w:bCs/>
          <w:color w:val="002060"/>
          <w:sz w:val="32"/>
          <w:szCs w:val="32"/>
          <w:rtl/>
        </w:rPr>
        <w:t>יזמות</w:t>
      </w:r>
      <w:r w:rsidRPr="00FB0AFD">
        <w:rPr>
          <w:rFonts w:ascii="FrankRuehl" w:hAnsi="FrankRuehl" w:cs="FrankRuehl"/>
          <w:b/>
          <w:bCs/>
          <w:color w:val="002060"/>
          <w:sz w:val="32"/>
          <w:szCs w:val="32"/>
        </w:rPr>
        <w:t xml:space="preserve"> </w:t>
      </w:r>
      <w:r w:rsidRPr="00FB0AFD">
        <w:rPr>
          <w:rFonts w:ascii="FrankRuehl" w:hAnsi="FrankRuehl" w:cs="FrankRuehl" w:hint="cs"/>
          <w:b/>
          <w:bCs/>
          <w:color w:val="002060"/>
          <w:sz w:val="32"/>
          <w:szCs w:val="32"/>
          <w:rtl/>
        </w:rPr>
        <w:t>ובניה</w:t>
      </w:r>
      <w:r w:rsidRPr="00FB0AFD">
        <w:rPr>
          <w:rFonts w:ascii="FrankRuehl" w:hAnsi="FrankRuehl" w:cs="FrankRuehl"/>
          <w:b/>
          <w:bCs/>
          <w:color w:val="002060"/>
          <w:sz w:val="32"/>
          <w:szCs w:val="32"/>
        </w:rPr>
        <w:t xml:space="preserve"> </w:t>
      </w:r>
      <w:proofErr w:type="spellStart"/>
      <w:r w:rsidRPr="00FB0AFD">
        <w:rPr>
          <w:rFonts w:ascii="FrankRuehl" w:hAnsi="FrankRuehl" w:cs="FrankRuehl" w:hint="cs"/>
          <w:b/>
          <w:bCs/>
          <w:color w:val="002060"/>
          <w:sz w:val="32"/>
          <w:szCs w:val="32"/>
          <w:rtl/>
        </w:rPr>
        <w:t>בע</w:t>
      </w:r>
      <w:proofErr w:type="spellEnd"/>
      <w:r w:rsidRPr="00FB0AFD">
        <w:rPr>
          <w:rFonts w:ascii="FrankRuehl" w:hAnsi="FrankRuehl" w:cs="FrankRuehl"/>
          <w:b/>
          <w:bCs/>
          <w:color w:val="002060"/>
          <w:sz w:val="32"/>
          <w:szCs w:val="32"/>
        </w:rPr>
        <w:t>"</w:t>
      </w:r>
      <w:r w:rsidRPr="00FB0AFD">
        <w:rPr>
          <w:rFonts w:ascii="FrankRuehl" w:hAnsi="FrankRuehl" w:cs="FrankRuehl" w:hint="cs"/>
          <w:b/>
          <w:bCs/>
          <w:color w:val="002060"/>
          <w:sz w:val="32"/>
          <w:szCs w:val="32"/>
          <w:rtl/>
        </w:rPr>
        <w:t>מ</w:t>
      </w:r>
      <w:r w:rsidRPr="00FB0AFD">
        <w:rPr>
          <w:rFonts w:ascii="FrankRuehl" w:hAnsi="FrankRuehl" w:cs="FrankRuehl"/>
          <w:b/>
          <w:bCs/>
          <w:color w:val="002060"/>
          <w:sz w:val="32"/>
          <w:szCs w:val="32"/>
        </w:rPr>
        <w:t xml:space="preserve"> </w:t>
      </w:r>
      <w:r w:rsidRPr="00FB0AFD">
        <w:rPr>
          <w:rFonts w:ascii="FrankRuehl" w:hAnsi="FrankRuehl" w:cs="FrankRuehl" w:hint="cs"/>
          <w:b/>
          <w:bCs/>
          <w:color w:val="002060"/>
          <w:sz w:val="32"/>
          <w:szCs w:val="32"/>
          <w:rtl/>
        </w:rPr>
        <w:t>נ</w:t>
      </w:r>
      <w:r w:rsidRPr="00FB0AFD">
        <w:rPr>
          <w:rFonts w:ascii="FrankRuehl" w:hAnsi="FrankRuehl" w:cs="FrankRuehl"/>
          <w:b/>
          <w:bCs/>
          <w:color w:val="002060"/>
          <w:sz w:val="32"/>
          <w:szCs w:val="32"/>
        </w:rPr>
        <w:t xml:space="preserve">' </w:t>
      </w:r>
      <w:r w:rsidRPr="00FB0AFD">
        <w:rPr>
          <w:rFonts w:ascii="FrankRuehl" w:hAnsi="FrankRuehl" w:cs="FrankRuehl" w:hint="cs"/>
          <w:b/>
          <w:bCs/>
          <w:color w:val="002060"/>
          <w:sz w:val="32"/>
          <w:szCs w:val="32"/>
          <w:rtl/>
        </w:rPr>
        <w:t>רשות</w:t>
      </w:r>
      <w:r w:rsidRPr="00FB0AFD">
        <w:rPr>
          <w:rFonts w:ascii="FrankRuehl" w:hAnsi="FrankRuehl" w:cs="FrankRuehl"/>
          <w:b/>
          <w:bCs/>
          <w:color w:val="002060"/>
          <w:sz w:val="32"/>
          <w:szCs w:val="32"/>
        </w:rPr>
        <w:t xml:space="preserve"> </w:t>
      </w:r>
      <w:r w:rsidRPr="00FB0AFD">
        <w:rPr>
          <w:rFonts w:ascii="FrankRuehl" w:hAnsi="FrankRuehl" w:cs="FrankRuehl" w:hint="cs"/>
          <w:b/>
          <w:bCs/>
          <w:color w:val="002060"/>
          <w:sz w:val="32"/>
          <w:szCs w:val="32"/>
          <w:rtl/>
        </w:rPr>
        <w:t>מקרקעי</w:t>
      </w:r>
      <w:r w:rsidRPr="00FB0AFD">
        <w:rPr>
          <w:rFonts w:ascii="FrankRuehl" w:hAnsi="FrankRuehl" w:cs="FrankRuehl"/>
          <w:b/>
          <w:bCs/>
          <w:color w:val="002060"/>
          <w:sz w:val="32"/>
          <w:szCs w:val="32"/>
        </w:rPr>
        <w:t xml:space="preserve"> </w:t>
      </w:r>
      <w:r w:rsidRPr="00FB0AFD">
        <w:rPr>
          <w:rFonts w:ascii="FrankRuehl" w:hAnsi="FrankRuehl" w:cs="FrankRuehl" w:hint="cs"/>
          <w:b/>
          <w:bCs/>
          <w:color w:val="002060"/>
          <w:sz w:val="32"/>
          <w:szCs w:val="32"/>
          <w:rtl/>
        </w:rPr>
        <w:t>ישראל</w:t>
      </w:r>
    </w:p>
    <w:p w:rsidR="00541C9E" w:rsidRDefault="00FB0AFD" w:rsidP="00FB0AFD">
      <w:pPr>
        <w:pStyle w:val="a5"/>
        <w:spacing w:line="276" w:lineRule="auto"/>
        <w:rPr>
          <w:rFonts w:ascii="FrankRuehl" w:hAnsi="FrankRuehl" w:cs="FrankRuehl"/>
          <w:b/>
          <w:bCs/>
          <w:color w:val="002060"/>
          <w:sz w:val="32"/>
          <w:szCs w:val="32"/>
          <w:rtl/>
        </w:rPr>
      </w:pPr>
      <w:r>
        <w:rPr>
          <w:rFonts w:ascii="FrankRuehl" w:hAnsi="FrankRuehl" w:cs="FrankRuehl" w:hint="cs"/>
          <w:b/>
          <w:bCs/>
          <w:color w:val="002060"/>
          <w:sz w:val="32"/>
          <w:szCs w:val="32"/>
          <w:rtl/>
        </w:rPr>
        <w:t xml:space="preserve">ביהמ"ש המחוזי בחיפה </w:t>
      </w:r>
      <w:r w:rsidRPr="00FB0AFD">
        <w:rPr>
          <w:rFonts w:ascii="FrankRuehl" w:hAnsi="FrankRuehl" w:cs="FrankRuehl"/>
          <w:b/>
          <w:bCs/>
          <w:color w:val="002060"/>
          <w:sz w:val="32"/>
          <w:szCs w:val="32"/>
          <w:rtl/>
        </w:rPr>
        <w:t>בשבתו כבית-משפט לעניינים מנהליים</w:t>
      </w:r>
      <w:r>
        <w:rPr>
          <w:rFonts w:ascii="FrankRuehl" w:hAnsi="FrankRuehl" w:cs="FrankRuehl" w:hint="cs"/>
          <w:b/>
          <w:bCs/>
          <w:color w:val="002060"/>
          <w:sz w:val="32"/>
          <w:szCs w:val="32"/>
          <w:rtl/>
        </w:rPr>
        <w:t>, הנשיא רון שפירא</w:t>
      </w:r>
      <w:r w:rsidR="00541C9E" w:rsidRPr="000071E5">
        <w:rPr>
          <w:rFonts w:ascii="FrankRuehl" w:hAnsi="FrankRuehl" w:cs="FrankRuehl" w:hint="cs"/>
          <w:b/>
          <w:bCs/>
          <w:color w:val="002060"/>
          <w:sz w:val="32"/>
          <w:szCs w:val="32"/>
          <w:rtl/>
        </w:rPr>
        <w:t xml:space="preserve"> </w:t>
      </w:r>
    </w:p>
    <w:p w:rsidR="00FB0AFD" w:rsidRPr="00FB0AFD" w:rsidRDefault="00FB0AFD" w:rsidP="00FB0AFD">
      <w:pPr>
        <w:pStyle w:val="a5"/>
        <w:spacing w:line="276" w:lineRule="auto"/>
        <w:rPr>
          <w:rFonts w:ascii="Tahoma" w:hAnsi="Tahoma" w:cs="Tahoma"/>
          <w:color w:val="000080"/>
          <w:rtl/>
        </w:rPr>
      </w:pPr>
    </w:p>
    <w:p w:rsidR="00FB0AFD" w:rsidRPr="00FB0AFD" w:rsidRDefault="00FB0AFD" w:rsidP="00FB0AFD">
      <w:pPr>
        <w:spacing w:afterLines="40" w:after="96" w:line="360" w:lineRule="auto"/>
        <w:jc w:val="both"/>
        <w:rPr>
          <w:rFonts w:ascii="David" w:hAnsi="David" w:cs="David"/>
          <w:sz w:val="24"/>
          <w:szCs w:val="24"/>
          <w:rtl/>
        </w:rPr>
      </w:pPr>
      <w:r w:rsidRPr="00FB0AFD">
        <w:rPr>
          <w:rFonts w:ascii="David" w:hAnsi="David" w:cs="David"/>
          <w:sz w:val="24"/>
          <w:szCs w:val="24"/>
          <w:rtl/>
        </w:rPr>
        <w:t xml:space="preserve">עניינו של פסק דין בגבולות הסמכות של וועדת המכרזים של רשות מקרקעי ישראל בחילוט ערבויות שהופקדו במסגרת הליכי מכרז והאיזון הנדרש שבין ההרתעה של משתתפי המכרז מפני השתתפות פסולה ובין השימוש בחילוט הערבויות כסנקציה </w:t>
      </w:r>
      <w:proofErr w:type="spellStart"/>
      <w:r w:rsidRPr="00FB0AFD">
        <w:rPr>
          <w:rFonts w:ascii="David" w:hAnsi="David" w:cs="David"/>
          <w:sz w:val="24"/>
          <w:szCs w:val="24"/>
          <w:rtl/>
        </w:rPr>
        <w:t>עונשית</w:t>
      </w:r>
      <w:proofErr w:type="spellEnd"/>
      <w:r w:rsidRPr="00FB0AFD">
        <w:rPr>
          <w:rFonts w:ascii="David" w:hAnsi="David" w:cs="David"/>
          <w:sz w:val="24"/>
          <w:szCs w:val="24"/>
          <w:rtl/>
        </w:rPr>
        <w:t xml:space="preserve">. בית המשפט מדגיש את הצורך לשקול את החילוט באיזון ומידתיות שבין הרתעת המשתתף שהפר את הכללים וניהל את המכרז בחוסר יושרה ובין מידת הסנקציה </w:t>
      </w:r>
      <w:proofErr w:type="spellStart"/>
      <w:r w:rsidRPr="00FB0AFD">
        <w:rPr>
          <w:rFonts w:ascii="David" w:hAnsi="David" w:cs="David"/>
          <w:sz w:val="24"/>
          <w:szCs w:val="24"/>
          <w:rtl/>
        </w:rPr>
        <w:t>העונשית</w:t>
      </w:r>
      <w:proofErr w:type="spellEnd"/>
      <w:r w:rsidRPr="00FB0AFD">
        <w:rPr>
          <w:rFonts w:ascii="David" w:hAnsi="David" w:cs="David"/>
          <w:sz w:val="24"/>
          <w:szCs w:val="24"/>
          <w:rtl/>
        </w:rPr>
        <w:t xml:space="preserve"> הכלכלית שתוטל עליו. בית המשפט מורה לוועדת המכרזים לשקול את מידת הסנקציה שראוי להטיל על המפר בהתאם לאמות מידה שפורטו בפסק הדין ומחזיר את הדיון לגורם המנהלי המוסמך שיקבל החלטה חדשה. </w:t>
      </w:r>
    </w:p>
    <w:p w:rsidR="00FB0AFD" w:rsidRPr="00FB0AFD" w:rsidRDefault="00FB0AFD" w:rsidP="00FB0AFD">
      <w:pPr>
        <w:spacing w:afterLines="40" w:after="96" w:line="360" w:lineRule="auto"/>
        <w:jc w:val="both"/>
        <w:rPr>
          <w:rFonts w:ascii="David" w:hAnsi="David" w:cs="David"/>
          <w:sz w:val="24"/>
          <w:szCs w:val="24"/>
          <w:rtl/>
        </w:rPr>
      </w:pPr>
      <w:r w:rsidRPr="00FB0AFD">
        <w:rPr>
          <w:rFonts w:ascii="David" w:hAnsi="David" w:cs="David"/>
          <w:sz w:val="24"/>
          <w:szCs w:val="24"/>
          <w:rtl/>
        </w:rPr>
        <w:t>לפני</w:t>
      </w:r>
      <w:r>
        <w:rPr>
          <w:rFonts w:ascii="David" w:hAnsi="David" w:cs="David" w:hint="cs"/>
          <w:sz w:val="24"/>
          <w:szCs w:val="24"/>
          <w:rtl/>
        </w:rPr>
        <w:t xml:space="preserve"> בית המשפט</w:t>
      </w:r>
      <w:r w:rsidRPr="00FB0AFD">
        <w:rPr>
          <w:rFonts w:ascii="David" w:hAnsi="David" w:cs="David"/>
          <w:sz w:val="24"/>
          <w:szCs w:val="24"/>
          <w:rtl/>
        </w:rPr>
        <w:t xml:space="preserve"> שתי עתירות מנהליות המכוונות נגד שתי החלטות מיום 30.4.2023 של ועדת המכרזים של רשות מקרקעי ישראל, בהן הוחלט לחלט שתי ערבויות שהופקדו על ידי העותרות במסגרת השתתפותן במכרז שהוצע על ידי המשיבה לקבלת הצעות לחכירת 15 מגרשים בתכנית "שערי עכו". שתי העותרות  הן חברות פרטיות העוסקות בשיווק מוצרי עץ ויזמות בנדל"ן. קיים קשר בין החברות כשהן יושבות יחד באותה קומה, ומשתמשות באותו חדר ישיבות ושירותי מזכירות. בעלי המניות הרשומים הם אחים. שתי העותרות הגישו הצעות במכרז עבור מגרשים סמוכים, והפקידו ערבויות מכרז בסכומים של 1,234,000 ₪ ו-1,354,000 ₪. </w:t>
      </w:r>
    </w:p>
    <w:p w:rsidR="00FB0AFD" w:rsidRPr="00FB0AFD" w:rsidRDefault="00FB0AFD" w:rsidP="00FB0AFD">
      <w:pPr>
        <w:spacing w:afterLines="40" w:after="96" w:line="360" w:lineRule="auto"/>
        <w:jc w:val="both"/>
        <w:rPr>
          <w:rFonts w:ascii="David" w:hAnsi="David" w:cs="David"/>
          <w:sz w:val="24"/>
          <w:szCs w:val="24"/>
          <w:rtl/>
        </w:rPr>
      </w:pPr>
      <w:r w:rsidRPr="00FB0AFD">
        <w:rPr>
          <w:rFonts w:ascii="David" w:hAnsi="David" w:cs="David"/>
          <w:sz w:val="24"/>
          <w:szCs w:val="24"/>
          <w:rtl/>
        </w:rPr>
        <w:t>ביום 15.6.2022, המשיבה הודיעה לעותרות כי כל אחת מהן זכתה במגרש אחד מהמכרז. לאחר שהוגשו שתי תלונות נגד העותרות בטענה כי הצעות העותרות הוגשו בניגוד לכללי המכרז האוסרים על תיאום הצעות בין מציעים ועל הגשת הצעות על ידי מציעים קשורים, ולאחר שימוע, הוועדה החליטה לפסול את הצעות העותרות לאחר שמצאו כי הן הוגשו בניגוד לכללי המכרז. העותרות הגישו עתירות מנהליות נגד החלטת הפסילה (</w:t>
      </w:r>
      <w:proofErr w:type="spellStart"/>
      <w:r w:rsidRPr="00FB0AFD">
        <w:rPr>
          <w:rFonts w:ascii="David" w:hAnsi="David" w:cs="David"/>
          <w:sz w:val="24"/>
          <w:szCs w:val="24"/>
          <w:rtl/>
        </w:rPr>
        <w:t>עת"מ</w:t>
      </w:r>
      <w:proofErr w:type="spellEnd"/>
      <w:r w:rsidRPr="00FB0AFD">
        <w:rPr>
          <w:rFonts w:ascii="David" w:hAnsi="David" w:cs="David"/>
          <w:sz w:val="24"/>
          <w:szCs w:val="24"/>
          <w:rtl/>
        </w:rPr>
        <w:t xml:space="preserve"> 39274-08-22 ו-33170-09-22), ובדיון מיום 22.11.2022 הסכימו הצדדים ששתי העתירות תדחנה ללא צו להוצאות לאור המלצות כב' השופט נאסר </w:t>
      </w:r>
      <w:proofErr w:type="spellStart"/>
      <w:r w:rsidRPr="00FB0AFD">
        <w:rPr>
          <w:rFonts w:ascii="David" w:hAnsi="David" w:cs="David"/>
          <w:sz w:val="24"/>
          <w:szCs w:val="24"/>
          <w:rtl/>
        </w:rPr>
        <w:t>ג'השאן</w:t>
      </w:r>
      <w:proofErr w:type="spellEnd"/>
      <w:r w:rsidRPr="00FB0AFD">
        <w:rPr>
          <w:rFonts w:ascii="David" w:hAnsi="David" w:cs="David"/>
          <w:sz w:val="24"/>
          <w:szCs w:val="24"/>
          <w:rtl/>
        </w:rPr>
        <w:t>. ביום 26.2.2023 נערכו שימועים לעותרות בעניין חילוט הערבויות, וביום 30.4.2023 המשיבה החליטה לחלט אותן במלואן (להלן: "</w:t>
      </w:r>
      <w:r w:rsidRPr="00FB0AFD">
        <w:rPr>
          <w:rFonts w:ascii="David" w:hAnsi="David" w:cs="David"/>
          <w:b/>
          <w:bCs/>
          <w:sz w:val="24"/>
          <w:szCs w:val="24"/>
          <w:rtl/>
        </w:rPr>
        <w:t>ההחלטות</w:t>
      </w:r>
      <w:r w:rsidRPr="00FB0AFD">
        <w:rPr>
          <w:rFonts w:ascii="David" w:hAnsi="David" w:cs="David"/>
          <w:sz w:val="24"/>
          <w:szCs w:val="24"/>
          <w:rtl/>
        </w:rPr>
        <w:t>", "</w:t>
      </w:r>
      <w:r w:rsidRPr="00FB0AFD">
        <w:rPr>
          <w:rFonts w:ascii="David" w:hAnsi="David" w:cs="David"/>
          <w:b/>
          <w:bCs/>
          <w:sz w:val="24"/>
          <w:szCs w:val="24"/>
          <w:rtl/>
        </w:rPr>
        <w:t>החלטות החילוט</w:t>
      </w:r>
      <w:r w:rsidRPr="00FB0AFD">
        <w:rPr>
          <w:rFonts w:ascii="David" w:hAnsi="David" w:cs="David"/>
          <w:sz w:val="24"/>
          <w:szCs w:val="24"/>
          <w:rtl/>
        </w:rPr>
        <w:t xml:space="preserve">"). </w:t>
      </w:r>
    </w:p>
    <w:p w:rsidR="00FB0AFD" w:rsidRPr="00FB0AFD" w:rsidRDefault="00FB0AFD" w:rsidP="00FB0AFD">
      <w:pPr>
        <w:spacing w:afterLines="40" w:after="96" w:line="360" w:lineRule="auto"/>
        <w:jc w:val="both"/>
        <w:rPr>
          <w:rFonts w:ascii="David" w:hAnsi="David" w:cs="David"/>
          <w:b/>
          <w:bCs/>
          <w:sz w:val="24"/>
          <w:szCs w:val="24"/>
          <w:u w:val="single"/>
          <w:rtl/>
        </w:rPr>
      </w:pPr>
      <w:r w:rsidRPr="00FB0AFD">
        <w:rPr>
          <w:rFonts w:ascii="David" w:hAnsi="David" w:cs="David"/>
          <w:sz w:val="24"/>
          <w:szCs w:val="24"/>
          <w:rtl/>
        </w:rPr>
        <w:t xml:space="preserve">העתירות שבפני </w:t>
      </w:r>
      <w:r>
        <w:rPr>
          <w:rFonts w:ascii="David" w:hAnsi="David" w:cs="David" w:hint="cs"/>
          <w:sz w:val="24"/>
          <w:szCs w:val="24"/>
          <w:rtl/>
        </w:rPr>
        <w:t xml:space="preserve">בית המשפט </w:t>
      </w:r>
      <w:r w:rsidRPr="00FB0AFD">
        <w:rPr>
          <w:rFonts w:ascii="David" w:hAnsi="David" w:cs="David"/>
          <w:sz w:val="24"/>
          <w:szCs w:val="24"/>
          <w:rtl/>
        </w:rPr>
        <w:t xml:space="preserve">הוגשו נגד החלטות החילוט. העותרות סבורות כי מדובר בהחלטות בלתי </w:t>
      </w:r>
      <w:proofErr w:type="spellStart"/>
      <w:r w:rsidRPr="00FB0AFD">
        <w:rPr>
          <w:rFonts w:ascii="David" w:hAnsi="David" w:cs="David"/>
          <w:sz w:val="24"/>
          <w:szCs w:val="24"/>
          <w:rtl/>
        </w:rPr>
        <w:t>מידותיות</w:t>
      </w:r>
      <w:proofErr w:type="spellEnd"/>
      <w:r w:rsidRPr="00FB0AFD">
        <w:rPr>
          <w:rFonts w:ascii="David" w:hAnsi="David" w:cs="David"/>
          <w:sz w:val="24"/>
          <w:szCs w:val="24"/>
          <w:rtl/>
        </w:rPr>
        <w:t xml:space="preserve"> ובלתי סבירות לאור ההפרש הקיים בין סכום הערבויות שחולט לבין הנזק שנגרם למשיבה בעקבות ביטול ההצעות. לטענתן, ביטול ההצעות בעצמו מהווה הרתעתה מספקת, ואין צורך בחילוט הערבויות, ולכל הפחות ניתן היה להסתפק בחילוט חלקי בלבד. כמו כן נטען כי לא התקיים קשר פסול בין העותרות במסגרת המכרז, ומשכך אין צורך ב"אפקט ההרתעתי" שצוין בהחלטות. </w:t>
      </w:r>
    </w:p>
    <w:p w:rsidR="00FB0AFD" w:rsidRPr="00FB0AFD" w:rsidRDefault="00FB0AFD" w:rsidP="00FB0AFD">
      <w:pPr>
        <w:spacing w:afterLines="40" w:after="96" w:line="360" w:lineRule="auto"/>
        <w:jc w:val="both"/>
        <w:rPr>
          <w:rFonts w:ascii="David" w:hAnsi="David" w:cs="David"/>
          <w:b/>
          <w:bCs/>
          <w:sz w:val="24"/>
          <w:szCs w:val="24"/>
          <w:u w:val="single"/>
          <w:rtl/>
        </w:rPr>
      </w:pPr>
      <w:r w:rsidRPr="00FB0AFD">
        <w:rPr>
          <w:rFonts w:ascii="David" w:hAnsi="David" w:cs="David"/>
          <w:sz w:val="24"/>
          <w:szCs w:val="24"/>
          <w:rtl/>
        </w:rPr>
        <w:lastRenderedPageBreak/>
        <w:t xml:space="preserve">מנגד, לטענת המשיבה, מדובר בהחלטה סבירה שהתקבלה תוך הפעלת שיקול דעת כדין ושאינה חורגת באופן קיצוני ממתחם הסבירות אשר מצדיק התערבותו של בית המשפט לעניינים מנהליים. לעמדתה, הנזק הממוני הנגרם אינו השיקול היחיד. כן נטען כי חומרת ההפרה וחוסר תום לב העותרות במקרה זה מחייבים חילוט מלוא סכום הערבויות כדי להרתיע ולתמרץ התנהלות תקינה של מציעים עתידיים. </w:t>
      </w:r>
    </w:p>
    <w:p w:rsidR="00FB0AFD" w:rsidRPr="00FB0AFD" w:rsidRDefault="00FB0AFD" w:rsidP="00FB0AFD">
      <w:pPr>
        <w:spacing w:afterLines="40" w:after="96" w:line="360" w:lineRule="auto"/>
        <w:jc w:val="both"/>
        <w:rPr>
          <w:rFonts w:ascii="David" w:hAnsi="David" w:cs="David"/>
          <w:sz w:val="24"/>
          <w:szCs w:val="24"/>
        </w:rPr>
      </w:pPr>
      <w:r w:rsidRPr="00FB0AFD">
        <w:rPr>
          <w:rFonts w:ascii="David" w:hAnsi="David" w:cs="David"/>
          <w:sz w:val="24"/>
          <w:szCs w:val="24"/>
          <w:rtl/>
        </w:rPr>
        <w:t>נקבע כי הלכה היא כי בית המשפט לעניינים מנהליים אינו יושב כ"ועדת מכרזים עליונה", או כערכאת ערעור על החלטות הוועדה. יש לוועדה שיקול דעת רחב, ובית המשפט לא יחליף את שיקול דעתה בשיקול דעתו. תפקיד בית המשפט לבחון את תקינות ההליך שהוביל להחלטות, והאם הן עמדו בעקרונות היסוד של דיני המכרזים בהתאם למתחם שיקול הדעת של הוועדה, והאם הן אינן בלתי סבירות או בלתי מידתיות באופן קיצוני המצדיק את התערבות בית משפט זה.</w:t>
      </w:r>
    </w:p>
    <w:p w:rsidR="00FB0AFD" w:rsidRPr="00FB0AFD" w:rsidRDefault="00FB0AFD" w:rsidP="00FB0AFD">
      <w:pPr>
        <w:spacing w:afterLines="40" w:after="96" w:line="360" w:lineRule="auto"/>
        <w:jc w:val="both"/>
        <w:rPr>
          <w:rFonts w:ascii="David" w:hAnsi="David" w:cs="David"/>
          <w:sz w:val="24"/>
          <w:szCs w:val="24"/>
        </w:rPr>
      </w:pPr>
      <w:r w:rsidRPr="00FB0AFD">
        <w:rPr>
          <w:rFonts w:ascii="David" w:hAnsi="David" w:cs="David"/>
          <w:sz w:val="24"/>
          <w:szCs w:val="24"/>
          <w:rtl/>
        </w:rPr>
        <w:t xml:space="preserve">לגופו של עניין נקבע כי אין פסול בכך כי שיעור החילוט לא משקף את הנזק הממוני שנגרם בפועל. חישוב הנזק אינו מהווה בהכרח השיקול העיקרי במרכז החלטות חילוט של ועדת המכרזים, אלא  הוא יכול לשמש נסיבה מקלה בהחלטה האם לסטות מנקודת המוצא. השאלה העיקרית עבור חילוט הערבויות היא קודם כל שאלת ההפרה, האם העותרות ביצעו מעשה פסול לפי חוק, ואינה בהכרח שאלת ההפסד של המשיבה שנגרם כתוצאה מפסילת ההצעות. לענייננו מצאתי כי אין פסול בכך שהוועדה סברה ששיקול הנזק הממוני אינו צריך לעמוד במרכז ההחלטות, וזאת מאחר שמטרת החילוט כאן היא הרתעתית, ומיועדת להכווין התנהגות של מציעים עתידיים, וכן לפצות על נזקים עתידיים שאינם ברי כימות. </w:t>
      </w:r>
    </w:p>
    <w:p w:rsidR="00FB0AFD" w:rsidRPr="00FB0AFD" w:rsidRDefault="00FB0AFD" w:rsidP="00FB0AFD">
      <w:pPr>
        <w:spacing w:afterLines="40" w:after="96" w:line="360" w:lineRule="auto"/>
        <w:jc w:val="both"/>
        <w:rPr>
          <w:rFonts w:ascii="David" w:hAnsi="David" w:cs="David"/>
          <w:sz w:val="24"/>
          <w:szCs w:val="24"/>
          <w:rtl/>
        </w:rPr>
      </w:pPr>
      <w:r w:rsidRPr="00FB0AFD">
        <w:rPr>
          <w:rFonts w:ascii="David" w:hAnsi="David" w:cs="David"/>
          <w:sz w:val="24"/>
          <w:szCs w:val="24"/>
          <w:rtl/>
        </w:rPr>
        <w:t xml:space="preserve">נקבע כי שיקול ההרתעה עליו התמקדו ההחלטות הוא שיקול ראוי אשר חשיבותו מובנת מאליה, לשם הגשמת מטרות ערבות המכרז. כן נדונה השאלה האם חרף לשון ההחלטות והתכלית ההרתעתית, מדובר למעשה בחילוט ענישתי פסול בהתאם לפסיקה לפיה חילוט ערבות אינו נועד למטרה </w:t>
      </w:r>
      <w:proofErr w:type="spellStart"/>
      <w:r w:rsidRPr="00FB0AFD">
        <w:rPr>
          <w:rFonts w:ascii="David" w:hAnsi="David" w:cs="David"/>
          <w:sz w:val="24"/>
          <w:szCs w:val="24"/>
          <w:rtl/>
        </w:rPr>
        <w:t>עונשית</w:t>
      </w:r>
      <w:proofErr w:type="spellEnd"/>
      <w:r w:rsidRPr="00FB0AFD">
        <w:rPr>
          <w:rFonts w:ascii="David" w:hAnsi="David" w:cs="David"/>
          <w:sz w:val="24"/>
          <w:szCs w:val="24"/>
          <w:rtl/>
        </w:rPr>
        <w:t xml:space="preserve">. </w:t>
      </w:r>
    </w:p>
    <w:p w:rsidR="00FB0AFD" w:rsidRPr="00FB0AFD" w:rsidRDefault="00FB0AFD" w:rsidP="00FB0AFD">
      <w:pPr>
        <w:spacing w:afterLines="40" w:after="96" w:line="360" w:lineRule="auto"/>
        <w:jc w:val="both"/>
        <w:rPr>
          <w:rFonts w:ascii="David" w:hAnsi="David" w:cs="David"/>
          <w:sz w:val="24"/>
          <w:szCs w:val="24"/>
          <w:u w:val="single"/>
          <w:rtl/>
        </w:rPr>
      </w:pPr>
      <w:r w:rsidRPr="00FB0AFD">
        <w:rPr>
          <w:rFonts w:ascii="David" w:hAnsi="David" w:cs="David"/>
          <w:sz w:val="24"/>
          <w:szCs w:val="24"/>
          <w:rtl/>
        </w:rPr>
        <w:t xml:space="preserve">בכל הנוגע לעתירה של העותרת 2 נקבע כי יש לדחותה מאחר שלא מצאתי כי הוועדה חרגה מגדרי שיקול דעתה. </w:t>
      </w:r>
    </w:p>
    <w:p w:rsidR="00FB0AFD" w:rsidRPr="00FB0AFD" w:rsidRDefault="00FB0AFD" w:rsidP="00FB0AFD">
      <w:pPr>
        <w:spacing w:afterLines="40" w:after="96" w:line="360" w:lineRule="auto"/>
        <w:jc w:val="both"/>
        <w:rPr>
          <w:rFonts w:ascii="David" w:hAnsi="David" w:cs="David"/>
          <w:sz w:val="24"/>
          <w:szCs w:val="24"/>
          <w:rtl/>
        </w:rPr>
      </w:pPr>
      <w:r w:rsidRPr="00FB0AFD">
        <w:rPr>
          <w:rFonts w:ascii="David" w:hAnsi="David" w:cs="David"/>
          <w:sz w:val="24"/>
          <w:szCs w:val="24"/>
          <w:rtl/>
        </w:rPr>
        <w:t xml:space="preserve">בנוגע לעתירה של העותרת 1 מצאתי כי בהפעלת שיקול דעתה, הוועדה לא שקלה את כל הנתונים המהותיים והנדרשים לקביעת שיעור החילוט, ולכן אני מורה על החזרת ההחלטה לוועדה לבחינה מחודשת. צוין כי בנוגע להחלטה זו, קיים הפרש גדול מאוד ביחס בין סכום הערבות לבין סכום הנזק שנגרם למשיבה כתוצאה מהביטול, כשהוחלט לחלט סכום שהוא פי 10 מסכום הנזק שנגרם למשיבה בפועל. נקבע כי אמנם גובה הנזק מהווה שיקול מקל שהוועדה אמורה להביא בחשבון אך נתונים אלו לא קיבלו התייחסות כלשהי במסגרת ההחלטות ולא ברור האם נשקלו. כמו כן, קיים קשר הדוק בין העותרות ויש להימנע מהרתעת יתר העלולה לגרום לאפקט מצנן בהשתתפות בהליכים </w:t>
      </w:r>
      <w:proofErr w:type="spellStart"/>
      <w:r w:rsidRPr="00FB0AFD">
        <w:rPr>
          <w:rFonts w:ascii="David" w:hAnsi="David" w:cs="David"/>
          <w:sz w:val="24"/>
          <w:szCs w:val="24"/>
          <w:rtl/>
        </w:rPr>
        <w:t>מכרזיים</w:t>
      </w:r>
      <w:proofErr w:type="spellEnd"/>
      <w:r w:rsidRPr="00FB0AFD">
        <w:rPr>
          <w:rFonts w:ascii="David" w:hAnsi="David" w:cs="David"/>
          <w:sz w:val="24"/>
          <w:szCs w:val="24"/>
          <w:rtl/>
        </w:rPr>
        <w:t>.</w:t>
      </w:r>
    </w:p>
    <w:p w:rsidR="00541C9E" w:rsidRPr="00FB0AFD" w:rsidRDefault="00FB0AFD" w:rsidP="00FB0AFD">
      <w:pPr>
        <w:spacing w:afterLines="40" w:after="96" w:line="360" w:lineRule="auto"/>
        <w:jc w:val="both"/>
        <w:rPr>
          <w:rFonts w:ascii="David" w:hAnsi="David" w:cs="David"/>
          <w:sz w:val="24"/>
          <w:szCs w:val="24"/>
          <w:rtl/>
        </w:rPr>
      </w:pPr>
      <w:r w:rsidRPr="00FB0AFD">
        <w:rPr>
          <w:rFonts w:ascii="David" w:hAnsi="David" w:cs="David"/>
          <w:sz w:val="24"/>
          <w:szCs w:val="24"/>
          <w:rtl/>
        </w:rPr>
        <w:t xml:space="preserve">בסיכומו של דבר הוחלט כי ההחלטה בכל הנוגע לחילוט הערבות של העותרת 1 מוחזרת לוועדה לבחינה מחודשת בהתאם לשיקולים אלו. </w:t>
      </w: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sectPr w:rsidR="00541C9E" w:rsidRPr="000071E5"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CF4" w:rsidRDefault="00B33CF4" w:rsidP="00730CA1">
      <w:pPr>
        <w:spacing w:after="0" w:line="240" w:lineRule="auto"/>
      </w:pPr>
      <w:r>
        <w:separator/>
      </w:r>
    </w:p>
  </w:endnote>
  <w:endnote w:type="continuationSeparator" w:id="0">
    <w:p w:rsidR="00B33CF4" w:rsidRDefault="00B33CF4"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CF4" w:rsidRDefault="00B33CF4" w:rsidP="00730CA1">
      <w:pPr>
        <w:spacing w:after="0" w:line="240" w:lineRule="auto"/>
      </w:pPr>
      <w:r>
        <w:separator/>
      </w:r>
    </w:p>
  </w:footnote>
  <w:footnote w:type="continuationSeparator" w:id="0">
    <w:p w:rsidR="00B33CF4" w:rsidRDefault="00B33CF4"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2C6303"/>
    <w:rsid w:val="003921C3"/>
    <w:rsid w:val="003C61AF"/>
    <w:rsid w:val="003E6E39"/>
    <w:rsid w:val="003E7EB7"/>
    <w:rsid w:val="00425294"/>
    <w:rsid w:val="00426AA7"/>
    <w:rsid w:val="00515986"/>
    <w:rsid w:val="005253B2"/>
    <w:rsid w:val="00541C9E"/>
    <w:rsid w:val="00631744"/>
    <w:rsid w:val="00690B6F"/>
    <w:rsid w:val="006B7B96"/>
    <w:rsid w:val="006C3B1F"/>
    <w:rsid w:val="006F1E1F"/>
    <w:rsid w:val="007007D7"/>
    <w:rsid w:val="00711675"/>
    <w:rsid w:val="00730CA1"/>
    <w:rsid w:val="007B7899"/>
    <w:rsid w:val="00832AD7"/>
    <w:rsid w:val="008C02E0"/>
    <w:rsid w:val="00983123"/>
    <w:rsid w:val="009E5C0E"/>
    <w:rsid w:val="00AD7644"/>
    <w:rsid w:val="00B16422"/>
    <w:rsid w:val="00B22AFC"/>
    <w:rsid w:val="00B33CF4"/>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46250"/>
    <w:rsid w:val="00F5045F"/>
    <w:rsid w:val="00FB0AFD"/>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nhideWhenUsed/>
    <w:rsid w:val="00730CA1"/>
    <w:pPr>
      <w:tabs>
        <w:tab w:val="center" w:pos="4153"/>
        <w:tab w:val="right" w:pos="8306"/>
      </w:tabs>
      <w:spacing w:after="0" w:line="240" w:lineRule="auto"/>
    </w:pPr>
  </w:style>
  <w:style w:type="character" w:customStyle="1" w:styleId="a6">
    <w:name w:val="כותרת עליונה תו"/>
    <w:basedOn w:val="a0"/>
    <w:link w:val="a5"/>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6E9AE016-1F57-4648-81BB-05AB50B4577A}">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876</Words>
  <Characters>4297</Characters>
  <Application>Microsoft Office Word</Application>
  <DocSecurity>0</DocSecurity>
  <Lines>76</Lines>
  <Paragraphs>22</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גרמאו מנגיסטו</cp:lastModifiedBy>
  <cp:revision>2</cp:revision>
  <cp:lastPrinted>2017-11-13T12:38:00Z</cp:lastPrinted>
  <dcterms:created xsi:type="dcterms:W3CDTF">2023-12-31T07:45:00Z</dcterms:created>
  <dcterms:modified xsi:type="dcterms:W3CDTF">2023-12-31T07:45:00Z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25 בדצמבר 2023</vt:lpwstr>
  </property>
  <property fmtid="{D5CDD505-2E9C-101B-9397-08002B2CF9AE}" pid="3" name="DocDateHeb">
    <vt:lpwstr>י"ג בטבת תשפ"ד</vt:lpwstr>
  </property>
  <property fmtid="{D5CDD505-2E9C-101B-9397-08002B2CF9AE}" pid="4" name="DocNumber">
    <vt:lpwstr>4700-1039-2023-010223</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פס"ד עת"מ 16770-05-23</vt:lpwstr>
  </property>
</Properties>
</file>